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Aviso"/>
      </w:pPr>
      <w:r>
        <w:t xml:space="preserve">Formato de Quincenea: https://quincenea.com/formatos/contrato-individual-de-trabajo-mexico. Este formato se preparó con apoyo de inteligencia artificial y no es asesoría de un abogado. Revísalo con tu abogado laboral antes de usarlo. Llena lo que está entre corchetes; lo marcado como opcional déjalo o bórralo según tu caso. Borra esta nota antes de firmar.</w:t>
      </w:r>
    </w:p>
    <w:p>
      <w:pPr>
        <w:pStyle w:val="Titulo1"/>
      </w:pPr>
      <w:r>
        <w:t xml:space="preserve">Contrato individual de trabajo por tiempo indeterminado</w:t>
      </w:r>
    </w:p>
    <w:p>
      <w:r>
        <w:t xml:space="preserve">En </w:t>
      </w:r>
      <w:r>
        <w:rPr>
          <w:highlight w:val="lightGray"/>
        </w:rPr>
        <w:t xml:space="preserve">[Ciudad]</w:t>
      </w:r>
      <w:r>
        <w:t xml:space="preserve">, a </w:t>
      </w:r>
      <w:r>
        <w:rPr>
          <w:highlight w:val="lightGray"/>
        </w:rPr>
        <w:t xml:space="preserve">[Fecha]</w:t>
      </w:r>
      <w:r>
        <w:t xml:space="preserve">, celebran el presente contrato individual de trabajo, por una parte, </w:t>
      </w:r>
      <w:r>
        <w:rPr>
          <w:b/>
          <w:highlight w:val="lightGray"/>
        </w:rPr>
        <w:t xml:space="preserve">[Razón social de la empresa]</w:t>
      </w:r>
      <w:r>
        <w:t xml:space="preserve">, con Registro Federal de Contribuyentes </w:t>
      </w:r>
      <w:r>
        <w:rPr>
          <w:highlight w:val="lightGray"/>
        </w:rPr>
        <w:t xml:space="preserve">[RFC de la empresa]</w:t>
      </w:r>
      <w:r>
        <w:t xml:space="preserve">, registro patronal ante el IMSS </w:t>
      </w:r>
      <w:r>
        <w:rPr>
          <w:highlight w:val="lightGray"/>
        </w:rPr>
        <w:t xml:space="preserve">[Registro patronal ante el IMSS]</w:t>
      </w:r>
      <w:r>
        <w:t xml:space="preserve"> y domicilio en </w:t>
      </w:r>
      <w:r>
        <w:rPr>
          <w:highlight w:val="lightGray"/>
        </w:rPr>
        <w:t xml:space="preserve">[Domicilio de la empresa]</w:t>
      </w:r>
      <w:r>
        <w:t xml:space="preserve">, representada en este acto por </w:t>
      </w:r>
      <w:r>
        <w:rPr>
          <w:highlight w:val="lightGray"/>
        </w:rPr>
        <w:t xml:space="preserve">[Nombre del representante legal]</w:t>
      </w:r>
      <w:r>
        <w:t xml:space="preserve"> (en adelante, «la empresa»); y, por la otra, </w:t>
      </w:r>
      <w:r>
        <w:rPr>
          <w:b/>
          <w:highlight w:val="lightGray"/>
        </w:rPr>
        <w:t xml:space="preserve">[Nombre completo de la persona]</w:t>
      </w:r>
      <w:r>
        <w:t xml:space="preserve"> (en adelante, «la persona trabajadora»), conforme a las siguientes declaraciones y cláusulas.</w:t>
      </w:r>
    </w:p>
    <w:p>
      <w:pPr>
        <w:pStyle w:val="Titulo2"/>
      </w:pPr>
      <w:r>
        <w:t xml:space="preserve">Declaraciones</w:t>
      </w:r>
    </w:p>
    <w:p>
      <w:pPr>
        <w:tabs>
          <w:tab w:val="left" w:pos="426"/>
        </w:tabs>
        <w:ind w:left="426" w:hanging="426"/>
      </w:pPr>
      <w:r>
        <w:t xml:space="preserve">1.	</w:t>
      </w:r>
      <w:r>
        <w:t xml:space="preserve">La empresa declara que es una persona legalmente constituida, que su representante cuenta con facultades suficientes para celebrar este contrato y que señala como domicilio el indicado arriba.</w:t>
      </w:r>
    </w:p>
    <w:p>
      <w:pPr>
        <w:tabs>
          <w:tab w:val="left" w:pos="426"/>
        </w:tabs>
        <w:ind w:left="426" w:hanging="426"/>
      </w:pPr>
      <w:r>
        <w:t xml:space="preserve">2.	</w:t>
      </w:r>
      <w:r>
        <w:t xml:space="preserve">La persona trabajadora declara llamarse como quedó escrito; ser de nacionalidad </w:t>
      </w:r>
      <w:r>
        <w:rPr>
          <w:highlight w:val="lightGray"/>
        </w:rPr>
        <w:t xml:space="preserve">[Nacionalidad]</w:t>
      </w:r>
      <w:r>
        <w:t xml:space="preserve">; tener </w:t>
      </w:r>
      <w:r>
        <w:rPr>
          <w:highlight w:val="lightGray"/>
        </w:rPr>
        <w:t xml:space="preserve">[Edad]</w:t>
      </w:r>
      <w:r>
        <w:t xml:space="preserve"> años de edad; ser de sexo </w:t>
      </w:r>
      <w:r>
        <w:rPr>
          <w:highlight w:val="lightGray"/>
        </w:rPr>
        <w:t xml:space="preserve">[Sexo]</w:t>
      </w:r>
      <w:r>
        <w:t xml:space="preserve">; de estado civil </w:t>
      </w:r>
      <w:r>
        <w:rPr>
          <w:highlight w:val="lightGray"/>
        </w:rPr>
        <w:t xml:space="preserve">[Estado civil]</w:t>
      </w:r>
      <w:r>
        <w:t xml:space="preserve">; con Clave Única de Registro de Población </w:t>
      </w:r>
      <w:r>
        <w:rPr>
          <w:highlight w:val="lightGray"/>
        </w:rPr>
        <w:t xml:space="preserve">[CURP]</w:t>
      </w:r>
      <w:r>
        <w:t xml:space="preserve">, Registro Federal de Contribuyentes </w:t>
      </w:r>
      <w:r>
        <w:rPr>
          <w:highlight w:val="lightGray"/>
        </w:rPr>
        <w:t xml:space="preserve">[RFC de la persona]</w:t>
      </w:r>
      <w:r>
        <w:t xml:space="preserve"> y número de seguridad social </w:t>
      </w:r>
      <w:r>
        <w:rPr>
          <w:highlight w:val="lightGray"/>
        </w:rPr>
        <w:t xml:space="preserve">[Número de seguridad social]</w:t>
      </w:r>
      <w:r>
        <w:t xml:space="preserve">; con domicilio en </w:t>
      </w:r>
      <w:r>
        <w:rPr>
          <w:highlight w:val="lightGray"/>
        </w:rPr>
        <w:t xml:space="preserve">[Domicilio de la persona]</w:t>
      </w:r>
      <w:r>
        <w:t xml:space="preserve">; y que cuenta con los conocimientos y la experiencia necesarios para el puesto.</w:t>
      </w:r>
    </w:p>
    <w:p>
      <w:pPr>
        <w:pStyle w:val="Titulo2"/>
      </w:pPr>
      <w:r>
        <w:t xml:space="preserve">Cláusulas</w:t>
      </w:r>
    </w:p>
    <w:p>
      <w:pPr>
        <w:tabs>
          <w:tab w:val="left" w:pos="426"/>
        </w:tabs>
        <w:ind w:left="426" w:hanging="426"/>
      </w:pPr>
      <w:r>
        <w:t xml:space="preserve">1.	</w:t>
      </w:r>
      <w:r>
        <w:rPr>
          <w:b/>
        </w:rPr>
        <w:t xml:space="preserve">Tipo de relación.</w:t>
      </w:r>
      <w:r>
        <w:t xml:space="preserve"> La relación de trabajo es por tiempo indeterminado y comienza el </w:t>
      </w:r>
      <w:r>
        <w:rPr>
          <w:highlight w:val="lightGray"/>
        </w:rPr>
        <w:t xml:space="preserve">[Fecha de ingreso]</w:t>
      </w:r>
      <w:r>
        <w:t xml:space="preserve">, fecha desde la cual se computa la antigüedad (arts. 25, fracción II, y 35 de la Ley Federal del Trabajo).</w:t>
      </w:r>
    </w:p>
    <w:p>
      <w:pPr>
        <w:tabs>
          <w:tab w:val="left" w:pos="426"/>
        </w:tabs>
        <w:ind w:left="426" w:hanging="426"/>
      </w:pPr>
      <w:r>
        <w:t xml:space="preserve">2.	</w:t>
      </w:r>
      <w:r>
        <w:rPr>
          <w:i/>
          <w:color w:val="7A5C00"/>
        </w:rPr>
        <w:t xml:space="preserve">[Opcional: solo si habrá periodo de prueba; si no, borra esta cláusula]</w:t>
      </w:r>
      <w:r>
        <w:t xml:space="preserve"> </w:t>
      </w:r>
      <w:r>
        <w:rPr>
          <w:b/>
        </w:rPr>
        <w:t xml:space="preserve">Periodo de prueba.</w:t>
      </w:r>
      <w:r>
        <w:t xml:space="preserve"> La relación queda sujeta a un periodo de prueba de </w:t>
      </w:r>
      <w:r>
        <w:rPr>
          <w:highlight w:val="lightGray"/>
        </w:rPr>
        <w:t xml:space="preserve">[Días de periodo de prueba]</w:t>
      </w:r>
      <w:r>
        <w:t xml:space="preserve"> días, con el único fin de verificar que la persona trabajadora cumple con los requisitos y conocimientos necesarios para el puesto. Durante ese periodo recibirá el salario, la seguridad social y las prestaciones del puesto. Si al terminar no acredita esos requisitos y conocimientos, a juicio de la empresa y tomando en cuenta la opinión de la Comisión Mixta de Productividad, Capacitación y Adiestramiento, la relación terminará sin responsabilidad para la empresa. Si la relación subsiste, continuará por tiempo indeterminado y el periodo de prueba contará para la antigüedad. Este periodo es improrrogable (arts. 39-A, 39-C, 39-D y 39-E de la Ley Federal del Trabajo).</w:t>
      </w:r>
    </w:p>
    <w:p>
      <w:pPr>
        <w:tabs>
          <w:tab w:val="left" w:pos="426"/>
        </w:tabs>
        <w:ind w:left="426" w:hanging="426"/>
      </w:pPr>
      <w:r>
        <w:t xml:space="preserve">3.	</w:t>
      </w:r>
      <w:r>
        <w:rPr>
          <w:b/>
        </w:rPr>
        <w:t xml:space="preserve">Puesto y servicios.</w:t>
      </w:r>
      <w:r>
        <w:t xml:space="preserve"> La persona trabajadora ocupará el puesto de </w:t>
      </w:r>
      <w:r>
        <w:rPr>
          <w:highlight w:val="lightGray"/>
        </w:rPr>
        <w:t xml:space="preserve">[Puesto]</w:t>
      </w:r>
      <w:r>
        <w:t xml:space="preserve"> en el área de </w:t>
      </w:r>
      <w:r>
        <w:rPr>
          <w:highlight w:val="lightGray"/>
        </w:rPr>
        <w:t xml:space="preserve">[Área]</w:t>
      </w:r>
      <w:r>
        <w:t xml:space="preserve">, bajo la dirección de </w:t>
      </w:r>
      <w:r>
        <w:rPr>
          <w:highlight w:val="lightGray"/>
        </w:rPr>
        <w:t xml:space="preserve">[Nombre del jefe inmediato]</w:t>
      </w:r>
      <w:r>
        <w:t xml:space="preserve"> o de quien la empresa designe, y prestará los siguientes servicios: </w:t>
      </w:r>
      <w:r>
        <w:rPr>
          <w:highlight w:val="lightGray"/>
        </w:rPr>
        <w:t xml:space="preserve">[Servicios que prestará]</w:t>
      </w:r>
      <w:r>
        <w:t xml:space="preserve">. También realizará las labores conexas o complementarias de su puesto (art. 25, fracción III).</w:t>
      </w:r>
    </w:p>
    <w:p>
      <w:pPr>
        <w:tabs>
          <w:tab w:val="left" w:pos="426"/>
        </w:tabs>
        <w:ind w:left="426" w:hanging="426"/>
      </w:pPr>
      <w:r>
        <w:t xml:space="preserve">4.	</w:t>
      </w:r>
      <w:r>
        <w:rPr>
          <w:b/>
        </w:rPr>
        <w:t xml:space="preserve">Lugar de trabajo.</w:t>
      </w:r>
      <w:r>
        <w:t xml:space="preserve"> Los servicios se prestarán en </w:t>
      </w:r>
      <w:r>
        <w:rPr>
          <w:highlight w:val="lightGray"/>
        </w:rPr>
        <w:t xml:space="preserve">[Nombre de la sede o centro de trabajo]</w:t>
      </w:r>
      <w:r>
        <w:t xml:space="preserve">, ubicada en </w:t>
      </w:r>
      <w:r>
        <w:rPr>
          <w:highlight w:val="lightGray"/>
        </w:rPr>
        <w:t xml:space="preserve">[Dirección del lugar de trabajo]</w:t>
      </w:r>
      <w:r>
        <w:t xml:space="preserve"> (art. 25, fracción IV).</w:t>
      </w:r>
    </w:p>
    <w:p>
      <w:pPr>
        <w:tabs>
          <w:tab w:val="left" w:pos="426"/>
        </w:tabs>
        <w:ind w:left="426" w:hanging="426"/>
      </w:pPr>
      <w:r>
        <w:t xml:space="preserve">5.	</w:t>
      </w:r>
      <w:r>
        <w:rPr>
          <w:i/>
          <w:color w:val="7A5C00"/>
        </w:rPr>
        <w:t xml:space="preserve">[Opcional: solo si habrá teletrabajo; si no, borra esta cláusula]</w:t>
      </w:r>
      <w:r>
        <w:t xml:space="preserve"> </w:t>
      </w:r>
      <w:r>
        <w:rPr>
          <w:b/>
        </w:rPr>
        <w:t xml:space="preserve">Teletrabajo.</w:t>
      </w:r>
      <w:r>
        <w:t xml:space="preserve"> Las partes acuerdan que la persona trabajadora prestará sus servicios en la modalidad de teletrabajo en los siguientes términos: </w:t>
      </w:r>
      <w:r>
        <w:rPr>
          <w:highlight w:val="lightGray"/>
        </w:rPr>
        <w:t xml:space="preserve">[Teletrabajo: términos]</w:t>
      </w:r>
      <w:r>
        <w:t xml:space="preserve">. La empresa entregará el siguiente equipo e insumos: </w:t>
      </w:r>
      <w:r>
        <w:rPr>
          <w:highlight w:val="lightGray"/>
        </w:rPr>
        <w:t xml:space="preserve">[Teletrabajo: equipo e insumos]</w:t>
      </w:r>
      <w:r>
        <w:t xml:space="preserve">; y pagará por concepto de servicios en el domicilio: </w:t>
      </w:r>
      <w:r>
        <w:rPr>
          <w:highlight w:val="lightGray"/>
        </w:rPr>
        <w:t xml:space="preserve">[Teletrabajo: pago de servicios en el domicilio]</w:t>
      </w:r>
      <w:r>
        <w:t xml:space="preserve">. El contacto y la supervisión se harán por: </w:t>
      </w:r>
      <w:r>
        <w:rPr>
          <w:highlight w:val="lightGray"/>
        </w:rPr>
        <w:t xml:space="preserve">[Teletrabajo: contacto y supervisión]</w:t>
      </w:r>
      <w:r>
        <w:t xml:space="preserve">, dentro de los máximos legales de jornada (art. 330-B de la Ley Federal del Trabajo).</w:t>
      </w:r>
    </w:p>
    <w:p>
      <w:pPr>
        <w:tabs>
          <w:tab w:val="left" w:pos="426"/>
        </w:tabs>
        <w:ind w:left="426" w:hanging="426"/>
      </w:pPr>
      <w:r>
        <w:t xml:space="preserve">6.	</w:t>
      </w:r>
      <w:r>
        <w:rPr>
          <w:b/>
        </w:rPr>
        <w:t xml:space="preserve">Jornada.</w:t>
      </w:r>
      <w:r>
        <w:t xml:space="preserve"> La jornada será </w:t>
      </w:r>
      <w:r>
        <w:rPr>
          <w:highlight w:val="lightGray"/>
        </w:rPr>
        <w:t xml:space="preserve">[Tipo de jornada]</w:t>
      </w:r>
      <w:r>
        <w:t xml:space="preserve">, con el horario </w:t>
      </w:r>
      <w:r>
        <w:rPr>
          <w:highlight w:val="lightGray"/>
        </w:rPr>
        <w:t xml:space="preserve">[Horario]</w:t>
      </w:r>
      <w:r>
        <w:t xml:space="preserve">, y no excederá de </w:t>
      </w:r>
      <w:r>
        <w:rPr>
          <w:highlight w:val="lightGray"/>
        </w:rPr>
        <w:t xml:space="preserve">[Horas a la semana]</w:t>
      </w:r>
      <w:r>
        <w:t xml:space="preserve"> horas a la semana, dentro de los límites de los artículos 59, 60 y 61 de la Ley Federal del Trabajo y del régimen transitorio del decreto publicado en el Diario Oficial de la Federación el 1 de mayo de 2026. En la jornada continua la persona trabajadora tendrá un descanso de media hora por lo menos (art. 63). Por cada seis días de trabajo disfrutará de por lo menos un día de descanso con goce de salario íntegro; su día o días de descanso serán </w:t>
      </w:r>
      <w:r>
        <w:rPr>
          <w:highlight w:val="lightGray"/>
        </w:rPr>
        <w:t xml:space="preserve">[Días de descanso]</w:t>
      </w:r>
      <w:r>
        <w:t xml:space="preserve"> (art. 69). La empresa registrará la jornada de forma electrónica, con hora de inicio y de fin (art. 132, fracción XXXIV).</w:t>
      </w:r>
    </w:p>
    <w:p>
      <w:pPr>
        <w:tabs>
          <w:tab w:val="left" w:pos="426"/>
        </w:tabs>
        <w:ind w:left="426" w:hanging="426"/>
      </w:pPr>
      <w:r>
        <w:t xml:space="preserve">7.	</w:t>
      </w:r>
      <w:r>
        <w:rPr>
          <w:b/>
        </w:rPr>
        <w:t xml:space="preserve">Tiempo extraordinario.</w:t>
      </w:r>
      <w:r>
        <w:t xml:space="preserve"> Solo se trabajará tiempo extraordinario cuando la empresa lo autorice por escrito, por circunstancias extraordinarias, y se pagará conforme a los artículos 66, 67 y 68 de la Ley Federal del Trabajo.</w:t>
      </w:r>
    </w:p>
    <w:p>
      <w:pPr>
        <w:tabs>
          <w:tab w:val="left" w:pos="426"/>
        </w:tabs>
        <w:ind w:left="426" w:hanging="426"/>
      </w:pPr>
      <w:r>
        <w:t xml:space="preserve">8.	</w:t>
      </w:r>
      <w:r>
        <w:rPr>
          <w:b/>
        </w:rPr>
        <w:t xml:space="preserve">Salario.</w:t>
      </w:r>
      <w:r>
        <w:t xml:space="preserve"> La persona trabajadora recibirá un salario mensual de </w:t>
      </w:r>
      <w:r>
        <w:rPr>
          <w:highlight w:val="lightGray"/>
        </w:rPr>
        <w:t xml:space="preserve">[Salario mensual]</w:t>
      </w:r>
      <w:r>
        <w:t xml:space="preserve"> </w:t>
      </w:r>
      <w:r>
        <w:rPr>
          <w:highlight w:val="lightGray"/>
        </w:rPr>
        <w:t xml:space="preserve">[pesos mexicanos]</w:t>
      </w:r>
      <w:r>
        <w:t xml:space="preserve">, equivalente a un salario diario de </w:t>
      </w:r>
      <w:r>
        <w:rPr>
          <w:highlight w:val="lightGray"/>
        </w:rPr>
        <w:t xml:space="preserve">[Salario diario]</w:t>
      </w:r>
      <w:r>
        <w:t xml:space="preserve"> </w:t>
      </w:r>
      <w:r>
        <w:rPr>
          <w:highlight w:val="lightGray"/>
        </w:rPr>
        <w:t xml:space="preserve">[pesos mexicanos]</w:t>
      </w:r>
      <w:r>
        <w:t xml:space="preserve">, que incluye el pago de los días de descanso. Se pagará por periodos </w:t>
      </w:r>
      <w:r>
        <w:rPr>
          <w:highlight w:val="lightGray"/>
        </w:rPr>
        <w:t xml:space="preserve">[Periodicidad de pago]</w:t>
      </w:r>
      <w:r>
        <w:t xml:space="preserve">, que no excederán de quince días (art. 88), los días </w:t>
      </w:r>
      <w:r>
        <w:rPr>
          <w:highlight w:val="lightGray"/>
        </w:rPr>
        <w:t xml:space="preserve">[Día de pago]</w:t>
      </w:r>
      <w:r>
        <w:t xml:space="preserve">, en </w:t>
      </w:r>
      <w:r>
        <w:rPr>
          <w:highlight w:val="lightGray"/>
        </w:rPr>
        <w:t xml:space="preserve">[Lugar de pago]</w:t>
      </w:r>
      <w:r>
        <w:t xml:space="preserve">, mediante </w:t>
      </w:r>
      <w:r>
        <w:rPr>
          <w:highlight w:val="lightGray"/>
        </w:rPr>
        <w:t xml:space="preserve">[Forma de pago]</w:t>
      </w:r>
      <w:r>
        <w:t xml:space="preserve">. La persona trabajadora otorga su consentimiento para recibir el pago por depósito o transferencia, cuyos costos cubre la empresa, y tendrá acceso al detalle de conceptos y deducciones mediante su recibo o comprobante fiscal digital (arts. 25, fracciones VI y VII, y 101).</w:t>
      </w:r>
    </w:p>
    <w:p>
      <w:pPr>
        <w:tabs>
          <w:tab w:val="left" w:pos="426"/>
        </w:tabs>
        <w:ind w:left="426" w:hanging="426"/>
      </w:pPr>
      <w:r>
        <w:t xml:space="preserve">9.	</w:t>
      </w:r>
      <w:r>
        <w:rPr>
          <w:b/>
        </w:rPr>
        <w:t xml:space="preserve">Aguinaldo.</w:t>
      </w:r>
      <w:r>
        <w:t xml:space="preserve"> La persona trabajadora recibirá un aguinaldo anual equivalente a </w:t>
      </w:r>
      <w:r>
        <w:rPr>
          <w:highlight w:val="lightGray"/>
        </w:rPr>
        <w:t xml:space="preserve">[Días de aguinaldo]</w:t>
      </w:r>
      <w:r>
        <w:t xml:space="preserve"> días de salario, que nunca será menor de quince días, pagadero antes del 20 de diciembre. Si no ha cumplido el año de servicios, recibirá la parte proporcional (art. 87).</w:t>
      </w:r>
    </w:p>
    <w:p>
      <w:pPr>
        <w:tabs>
          <w:tab w:val="left" w:pos="426"/>
        </w:tabs>
        <w:ind w:left="426" w:hanging="426"/>
      </w:pPr>
      <w:r>
        <w:t xml:space="preserve">10.	</w:t>
      </w:r>
      <w:r>
        <w:rPr>
          <w:b/>
        </w:rPr>
        <w:t xml:space="preserve">Vacaciones y prima vacacional.</w:t>
      </w:r>
      <w:r>
        <w:t xml:space="preserve"> Al cumplir un año de servicios, la persona trabajadora disfrutará de doce días laborables de vacaciones pagadas, que aumentarán en dos días por cada año subsecuente hasta llegar a veinte y, a partir del sexto año, en dos días por cada cinco años de servicios (art. 76). Disfrutará de por lo menos doce días continuos y podrá distribuir el resto como lo requiera (art. 78). Las vacaciones se concederán dentro de los seis meses siguientes al cumplimiento de cada año (art. 81), no se compensarán con dinero salvo la parte proporcional al terminar la relación (art. 79), y se pagará una prima vacacional de </w:t>
      </w:r>
      <w:r>
        <w:rPr>
          <w:highlight w:val="lightGray"/>
        </w:rPr>
        <w:t xml:space="preserve">[Prima vacacional (%)]</w:t>
      </w:r>
      <w:r>
        <w:t xml:space="preserve"> % de los salarios del periodo, que nunca será menor de 25 % (art. 80).</w:t>
      </w:r>
    </w:p>
    <w:p>
      <w:pPr>
        <w:tabs>
          <w:tab w:val="left" w:pos="426"/>
        </w:tabs>
        <w:ind w:left="426" w:hanging="426"/>
      </w:pPr>
      <w:r>
        <w:t xml:space="preserve">11.	</w:t>
      </w:r>
      <w:r>
        <w:rPr>
          <w:b/>
        </w:rPr>
        <w:t xml:space="preserve">Participación en las utilidades.</w:t>
      </w:r>
      <w:r>
        <w:t xml:space="preserve"> La persona trabajadora participará en las utilidades de la empresa conforme a la ley.</w:t>
      </w:r>
    </w:p>
    <w:p>
      <w:pPr>
        <w:tabs>
          <w:tab w:val="left" w:pos="426"/>
        </w:tabs>
        <w:ind w:left="426" w:hanging="426"/>
      </w:pPr>
      <w:r>
        <w:t xml:space="preserve">12.	</w:t>
      </w:r>
      <w:r>
        <w:rPr>
          <w:b/>
        </w:rPr>
        <w:t xml:space="preserve">Capacitación.</w:t>
      </w:r>
      <w:r>
        <w:t xml:space="preserve"> La persona trabajadora será capacitada y adiestrada conforme a los planes y programas establecidos o que se establezcan en la empresa (arts. 25, fracción VIII, y 153-A).</w:t>
      </w:r>
    </w:p>
    <w:p>
      <w:pPr>
        <w:tabs>
          <w:tab w:val="left" w:pos="426"/>
        </w:tabs>
        <w:ind w:left="426" w:hanging="426"/>
      </w:pPr>
      <w:r>
        <w:t xml:space="preserve">13.	</w:t>
      </w:r>
      <w:r>
        <w:rPr>
          <w:b/>
        </w:rPr>
        <w:t xml:space="preserve">Seguridad social.</w:t>
      </w:r>
      <w:r>
        <w:t xml:space="preserve"> La empresa inscribirá a la persona trabajadora en el Instituto Mexicano del Seguro Social y cumplirá las demás obligaciones de seguridad social y vivienda que le correspondan.</w:t>
      </w:r>
    </w:p>
    <w:p>
      <w:pPr>
        <w:tabs>
          <w:tab w:val="left" w:pos="426"/>
        </w:tabs>
        <w:ind w:left="426" w:hanging="426"/>
      </w:pPr>
      <w:r>
        <w:t xml:space="preserve">14.	</w:t>
      </w:r>
      <w:r>
        <w:rPr>
          <w:b/>
        </w:rPr>
        <w:t xml:space="preserve">Obligaciones de la persona trabajadora.</w:t>
      </w:r>
      <w:r>
        <w:t xml:space="preserve"> Además de las previstas en el artículo 134 de la Ley Federal del Trabajo, la persona trabajadora se obliga a desempeñar su trabajo con cuidado y esmero, a observar las medidas de seguridad y salud, y a guardar los secretos técnicos, comerciales y los asuntos administrativos reservados de los que tenga conocimiento por su trabajo (art. 134, fracción XIII), aun después de terminada la relación.</w:t>
      </w:r>
    </w:p>
    <w:p>
      <w:pPr>
        <w:tabs>
          <w:tab w:val="left" w:pos="426"/>
        </w:tabs>
        <w:ind w:left="426" w:hanging="426"/>
      </w:pPr>
      <w:r>
        <w:t xml:space="preserve">15.	</w:t>
      </w:r>
      <w:r>
        <w:rPr>
          <w:i/>
          <w:color w:val="7A5C00"/>
        </w:rPr>
        <w:t xml:space="preserve">[Opcional: solo si la empresa tiene reglamento interior depositado]</w:t>
      </w:r>
      <w:r>
        <w:t xml:space="preserve"> </w:t>
      </w:r>
      <w:r>
        <w:rPr>
          <w:b/>
        </w:rPr>
        <w:t xml:space="preserve">Reglamento interior.</w:t>
      </w:r>
      <w:r>
        <w:t xml:space="preserve"> La persona trabajadora declara conocer el reglamento interior de trabajo de la empresa, </w:t>
      </w:r>
      <w:r>
        <w:rPr>
          <w:highlight w:val="lightGray"/>
        </w:rPr>
        <w:t xml:space="preserve">[Reglamento interior]</w:t>
      </w:r>
      <w:r>
        <w:t xml:space="preserve">, y se obliga a cumplirlo (art. 422 de la Ley Federal del Trabajo).</w:t>
      </w:r>
    </w:p>
    <w:p>
      <w:pPr>
        <w:tabs>
          <w:tab w:val="left" w:pos="426"/>
        </w:tabs>
        <w:ind w:left="426" w:hanging="426"/>
      </w:pPr>
      <w:r>
        <w:t xml:space="preserve">16.	</w:t>
      </w:r>
      <w:r>
        <w:rPr>
          <w:b/>
        </w:rPr>
        <w:t xml:space="preserve">Beneficiarios.</w:t>
      </w:r>
      <w:r>
        <w:t xml:space="preserve"> Para el pago de los salarios y prestaciones devengados y no cobrados en caso de fallecimiento o desaparición, la persona trabajadora designa como beneficiarios a: </w:t>
      </w:r>
      <w:r>
        <w:rPr>
          <w:highlight w:val="lightGray"/>
        </w:rPr>
        <w:t xml:space="preserve">[Beneficiarios]</w:t>
      </w:r>
      <w:r>
        <w:t xml:space="preserve"> (art. 25, fracción X).</w:t>
      </w:r>
    </w:p>
    <w:p>
      <w:pPr>
        <w:tabs>
          <w:tab w:val="left" w:pos="426"/>
        </w:tabs>
        <w:ind w:left="426" w:hanging="426"/>
      </w:pPr>
      <w:r>
        <w:t xml:space="preserve">17.	</w:t>
      </w:r>
      <w:r>
        <w:rPr>
          <w:b/>
        </w:rPr>
        <w:t xml:space="preserve">Otras condiciones.</w:t>
      </w:r>
      <w:r>
        <w:t xml:space="preserve"> </w:t>
      </w:r>
      <w:r>
        <w:rPr>
          <w:highlight w:val="lightGray"/>
        </w:rPr>
        <w:t xml:space="preserve">[Otras condiciones]</w:t>
      </w:r>
    </w:p>
    <w:p>
      <w:pPr>
        <w:tabs>
          <w:tab w:val="left" w:pos="426"/>
        </w:tabs>
        <w:ind w:left="426" w:hanging="426"/>
      </w:pPr>
      <w:r>
        <w:t xml:space="preserve">18.	</w:t>
      </w:r>
      <w:r>
        <w:rPr>
          <w:b/>
        </w:rPr>
        <w:t xml:space="preserve">Normas aplicables.</w:t>
      </w:r>
      <w:r>
        <w:t xml:space="preserve"> Lo no previsto en este contrato se rige por la Ley Federal del Trabajo y demás normas de trabajo aplicables. Ninguna cláusula de este contrato implica renuncia a derechos de la persona trabajadora (art. 33).</w:t>
      </w:r>
    </w:p>
    <w:p>
      <w:pPr>
        <w:tabs>
          <w:tab w:val="left" w:pos="426"/>
        </w:tabs>
        <w:ind w:left="426" w:hanging="426"/>
      </w:pPr>
      <w:r>
        <w:t xml:space="preserve">19.	</w:t>
      </w:r>
      <w:r>
        <w:rPr>
          <w:b/>
        </w:rPr>
        <w:t xml:space="preserve">Firma y ejemplares.</w:t>
      </w:r>
      <w:r>
        <w:t xml:space="preserve"> Las partes firman este contrato en dos ejemplares, y cada una conserva uno (art. 24). Para cualquier controversia, las partes se someten a la autoridad conciliadora y a los tribunales laborales competentes.</w:t>
      </w:r>
    </w:p>
    <w:tbl>
      <w:tblPr>
        <w:tblW w:w="9360" w:type="dxa"/>
        <w:tblLayout w:type="fixed"/>
        <w:tblCellMar>
          <w:top w:w="240" w:type="dxa"/>
          <w:left w:w="0" w:type="dxa"/>
          <w:right w:w="240" w:type="dxa"/>
        </w:tblCellMar>
      </w:tblPr>
      <w:tblGrid>
        <w:gridCol w:w="4680"/>
        <w:gridCol w:w="4680"/>
      </w:tblGrid>
      <w:tr>
        <w:trPr>
          <w:cantSplit/>
        </w:trPr>
        <w:tc>
          <w:tcPr>
            <w:tcW w:w="4680" w:type="dxa"/>
          </w:tcPr>
          <w:p>
            <w:pPr>
              <w:keepNext/>
            </w:pPr>
            <w:r>
              <w:rPr>
                <w:b/>
              </w:rPr>
              <w:t xml:space="preserve">La empresa</w:t>
            </w:r>
          </w:p>
          <w:p>
            <w:pPr>
              <w:spacing w:before="720"/>
              <w:keepNext/>
            </w:pPr>
            <w:r>
              <w:t xml:space="preserve">______________________________</w:t>
            </w:r>
          </w:p>
          <w:p>
            <w:pPr>
              <w:keepNext/>
            </w:pPr>
            <w:r>
              <w:rPr>
                <w:highlight w:val="lightGray"/>
              </w:rPr>
              <w:t xml:space="preserve">[Razón social de la empresa]</w:t>
            </w:r>
          </w:p>
          <w:p>
            <w:pPr>
              <w:keepNext/>
            </w:pPr>
            <w:r>
              <w:rPr>
                <w:highlight w:val="lightGray"/>
              </w:rPr>
              <w:t xml:space="preserve">[Nombre del representante legal]</w:t>
            </w:r>
          </w:p>
        </w:tc>
        <w:tc>
          <w:tcPr>
            <w:tcW w:w="4680" w:type="dxa"/>
          </w:tcPr>
          <w:p>
            <w:pPr>
              <w:keepNext/>
            </w:pPr>
            <w:r>
              <w:rPr>
                <w:b/>
              </w:rPr>
              <w:t xml:space="preserve">La persona trabajadora</w:t>
            </w:r>
          </w:p>
          <w:p>
            <w:pPr>
              <w:spacing w:before="720"/>
              <w:keepNext/>
            </w:pPr>
            <w:r>
              <w:t xml:space="preserve">______________________________</w:t>
            </w:r>
          </w:p>
          <w:p>
            <w:pPr>
              <w:keepNext/>
            </w:pPr>
            <w:r>
              <w:rPr>
                <w:highlight w:val="lightGray"/>
              </w:rPr>
              <w:t xml:space="preserve">[Nombre completo de la persona]</w:t>
            </w:r>
          </w:p>
        </w:tc>
      </w:tr>
    </w:tbl>
    <w:p/>
    <w:sectPr>
      <w:pgSz w:w="12240" w:h="15840"/>
      <w:pgMar w:top="1418" w:right="1440" w:bottom="1418" w:left="1440" w:header="709" w:footer="709" w:gutter="0"/>
    </w:sectPr>
  </w:body>
</w:document>
</file>

<file path=word/styles.xml><?xml version="1.0" encoding="utf-8"?>
<w:styles xmlns:w="http://schemas.openxmlformats.org/wordprocessingml/2006/main">
  <w:docDefaults>
    <w:rPrDefault>
      <w:rPr>
        <w:rFonts w:ascii="Arial" w:hAnsi="Arial" w:eastAsia="Arial" w:cs="Arial"/>
        <w:sz w:val="22"/>
        <w:szCs w:val="22"/>
        <w:lang w:val="es-MX"/>
      </w:rPr>
    </w:rPrDefault>
    <w:pPrDefault>
      <w:pPr>
        <w:spacing w:after="160" w:line="276" w:lineRule="auto"/>
        <w:jc w:val="both"/>
      </w:pPr>
    </w:pPrDefault>
  </w:docDefaults>
  <w:style w:type="paragraph" w:default="1" w:styleId="Normal">
    <w:name w:val="Normal"/>
    <w:qFormat/>
  </w:style>
  <w:style w:type="paragraph" w:styleId="Titulo1">
    <w:name w:val="heading 1"/>
    <w:basedOn w:val="Normal"/>
    <w:next w:val="Normal"/>
    <w:qFormat/>
    <w:pPr>
      <w:keepNext/>
      <w:spacing w:before="240" w:after="240"/>
      <w:jc w:val="center"/>
      <w:outlineLvl w:val="0"/>
    </w:pPr>
    <w:rPr>
      <w:b/>
      <w:sz w:val="30"/>
      <w:szCs w:val="30"/>
    </w:rPr>
  </w:style>
  <w:style w:type="paragraph" w:styleId="Titulo2">
    <w:name w:val="heading 2"/>
    <w:basedOn w:val="Normal"/>
    <w:next w:val="Normal"/>
    <w:qFormat/>
    <w:pPr>
      <w:keepNext/>
      <w:spacing w:before="280" w:after="120"/>
      <w:jc w:val="left"/>
      <w:outlineLvl w:val="1"/>
    </w:pPr>
    <w:rPr>
      <w:b/>
      <w:sz w:val="24"/>
      <w:szCs w:val="24"/>
    </w:rPr>
  </w:style>
  <w:style w:type="paragraph" w:styleId="Aviso">
    <w:name w:val="Aviso"/>
    <w:basedOn w:val="Normal"/>
    <w:pPr>
      <w:pBdr>
        <w:top w:val="single" w:sz="4" w:space="4" w:color="BFBFBF"/>
        <w:bottom w:val="single" w:sz="4" w:space="4" w:color="BFBFBF"/>
      </w:pBdr>
      <w:spacing w:after="240"/>
      <w:jc w:val="left"/>
    </w:pPr>
    <w:rPr>
      <w:i/>
      <w:color w:val="595959"/>
      <w:sz w:val="18"/>
      <w:szCs w:val="18"/>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Contrato individual de trabajo por tiempo indeterminado</dc:title>
  <dc:creator>Quincenea</dc:creator>
  <dc:language>es-MX</dc:language>
  <dc:description>Este formato se preparó con apoyo de inteligencia artificial y no es asesoría de un abogado. Revísalo con tu abogado laboral antes de usarlo.</dc:description>
  <dcterms:created xsi:type="dcterms:W3CDTF">2026-10-19T00:00:00Z</dcterms:created>
  <dcterms:modified xsi:type="dcterms:W3CDTF">2026-10-19T00:00:00Z</dcterms:modified>
</cp:coreProperties>
</file>