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Aviso"/>
      </w:pPr>
      <w:r>
        <w:t xml:space="preserve">Formato de Quincenea: https://quincenea.com/formatos/contrato-individual-de-trabajo-venezuela. Este formato se preparó con apoyo de inteligencia artificial y no es asesoría de un abogado. Revísalo con tu abogado laboral antes de usarlo. Llena lo que está entre corchetes; lo marcado como opcional déjalo o bórralo según tu caso. Borra esta nota antes de firmar.</w:t>
      </w:r>
    </w:p>
    <w:p>
      <w:pPr>
        <w:pStyle w:val="Titulo1"/>
      </w:pPr>
      <w:r>
        <w:t xml:space="preserve">Contrato de trabajo por tiempo indeterminado</w:t>
      </w:r>
    </w:p>
    <w:p>
      <w:r>
        <w:t xml:space="preserve">Entre </w:t>
      </w:r>
      <w:r>
        <w:rPr>
          <w:b/>
          <w:highlight w:val="lightGray"/>
        </w:rPr>
        <w:t xml:space="preserve">[Razón social de la empresa]</w:t>
      </w:r>
      <w:r>
        <w:t xml:space="preserve">, con Registro de Información Fiscal </w:t>
      </w:r>
      <w:r>
        <w:rPr>
          <w:highlight w:val="lightGray"/>
        </w:rPr>
        <w:t xml:space="preserve">[RIF de la empresa]</w:t>
      </w:r>
      <w:r>
        <w:t xml:space="preserve">, número patronal del IVSS </w:t>
      </w:r>
      <w:r>
        <w:rPr>
          <w:highlight w:val="lightGray"/>
        </w:rPr>
        <w:t xml:space="preserve">[Número patronal del IVSS]</w:t>
      </w:r>
      <w:r>
        <w:t xml:space="preserve"> y domicilio en </w:t>
      </w:r>
      <w:r>
        <w:rPr>
          <w:highlight w:val="lightGray"/>
        </w:rPr>
        <w:t xml:space="preserve">[Domicilio de la empresa]</w:t>
      </w:r>
      <w:r>
        <w:t xml:space="preserve">, representada en este acto por </w:t>
      </w:r>
      <w:r>
        <w:rPr>
          <w:highlight w:val="lightGray"/>
        </w:rPr>
        <w:t xml:space="preserve">[Nombre del representante legal]</w:t>
      </w:r>
      <w:r>
        <w:t xml:space="preserve">, titular de la cédula de identidad </w:t>
      </w:r>
      <w:r>
        <w:rPr>
          <w:highlight w:val="lightGray"/>
        </w:rPr>
        <w:t xml:space="preserve">[Cédula del representante legal]</w:t>
      </w:r>
      <w:r>
        <w:t xml:space="preserve"> (en adelante, «la entidad de trabajo»); y </w:t>
      </w:r>
      <w:r>
        <w:rPr>
          <w:b/>
          <w:highlight w:val="lightGray"/>
        </w:rPr>
        <w:t xml:space="preserve">[Nombre completo de la persona]</w:t>
      </w:r>
      <w:r>
        <w:t xml:space="preserve">, de nacionalidad </w:t>
      </w:r>
      <w:r>
        <w:rPr>
          <w:highlight w:val="lightGray"/>
        </w:rPr>
        <w:t xml:space="preserve">[Nacionalidad]</w:t>
      </w:r>
      <w:r>
        <w:t xml:space="preserve">, titular de la cédula de identidad </w:t>
      </w:r>
      <w:r>
        <w:rPr>
          <w:highlight w:val="lightGray"/>
        </w:rPr>
        <w:t xml:space="preserve">[Número de cédula]</w:t>
      </w:r>
      <w:r>
        <w:t xml:space="preserve">, de </w:t>
      </w:r>
      <w:r>
        <w:rPr>
          <w:highlight w:val="lightGray"/>
        </w:rPr>
        <w:t xml:space="preserve">[Edad]</w:t>
      </w:r>
      <w:r>
        <w:t xml:space="preserve"> años de edad, de estado civil </w:t>
      </w:r>
      <w:r>
        <w:rPr>
          <w:highlight w:val="lightGray"/>
        </w:rPr>
        <w:t xml:space="preserve">[Estado civil]</w:t>
      </w:r>
      <w:r>
        <w:t xml:space="preserve"> y domiciliado en </w:t>
      </w:r>
      <w:r>
        <w:rPr>
          <w:highlight w:val="lightGray"/>
        </w:rPr>
        <w:t xml:space="preserve">[Domicilio de la persona]</w:t>
      </w:r>
      <w:r>
        <w:t xml:space="preserve"> (en adelante, «el trabajador o la trabajadora»), se celebra el presente contrato de trabajo, conforme a la Ley Orgánica del Trabajo, los Trabajadores y las Trabajadoras (LOTTT) y a las siguientes cláusulas.</w:t>
      </w:r>
    </w:p>
    <w:p>
      <w:pPr>
        <w:pStyle w:val="Titulo2"/>
      </w:pPr>
      <w:r>
        <w:t xml:space="preserve">Cláusulas</w:t>
      </w:r>
    </w:p>
    <w:p>
      <w:pPr>
        <w:tabs>
          <w:tab w:val="left" w:pos="426"/>
        </w:tabs>
        <w:ind w:left="426" w:hanging="426"/>
      </w:pPr>
      <w:r>
        <w:t xml:space="preserve">1.	</w:t>
      </w:r>
      <w:r>
        <w:rPr>
          <w:b/>
        </w:rPr>
        <w:t xml:space="preserve">Modalidad.</w:t>
      </w:r>
      <w:r>
        <w:t xml:space="preserve"> Este contrato se celebra por tiempo indeterminado (arts. 59, numeral 5, 60 y 61 LOTTT). La relación de trabajo inicia el </w:t>
      </w:r>
      <w:r>
        <w:rPr>
          <w:highlight w:val="lightGray"/>
        </w:rPr>
        <w:t xml:space="preserve">[Fecha de ingreso]</w:t>
      </w:r>
      <w:r>
        <w:t xml:space="preserve"> (art. 59, numeral 4).</w:t>
      </w:r>
    </w:p>
    <w:p>
      <w:pPr>
        <w:tabs>
          <w:tab w:val="left" w:pos="426"/>
        </w:tabs>
        <w:ind w:left="426" w:hanging="426"/>
      </w:pPr>
      <w:r>
        <w:t xml:space="preserve">2.	</w:t>
      </w:r>
      <w:r>
        <w:rPr>
          <w:b/>
        </w:rPr>
        <w:t xml:space="preserve">Cargo y servicios.</w:t>
      </w:r>
      <w:r>
        <w:t xml:space="preserve"> El trabajador o la trabajadora ocupará el cargo de </w:t>
      </w:r>
      <w:r>
        <w:rPr>
          <w:highlight w:val="lightGray"/>
        </w:rPr>
        <w:t xml:space="preserve">[Puesto]</w:t>
      </w:r>
      <w:r>
        <w:t xml:space="preserve"> en el área de </w:t>
      </w:r>
      <w:r>
        <w:rPr>
          <w:highlight w:val="lightGray"/>
        </w:rPr>
        <w:t xml:space="preserve">[Área]</w:t>
      </w:r>
      <w:r>
        <w:t xml:space="preserve">, bajo la supervisión de </w:t>
      </w:r>
      <w:r>
        <w:rPr>
          <w:highlight w:val="lightGray"/>
        </w:rPr>
        <w:t xml:space="preserve">[Nombre del jefe inmediato]</w:t>
      </w:r>
      <w:r>
        <w:t xml:space="preserve"> o de quien la entidad de trabajo designe, y prestará los siguientes servicios: </w:t>
      </w:r>
      <w:r>
        <w:rPr>
          <w:highlight w:val="lightGray"/>
        </w:rPr>
        <w:t xml:space="preserve">[Servicios que prestará]</w:t>
      </w:r>
      <w:r>
        <w:t xml:space="preserve"> (art. 59, numeral 3).</w:t>
      </w:r>
    </w:p>
    <w:p>
      <w:pPr>
        <w:tabs>
          <w:tab w:val="left" w:pos="426"/>
        </w:tabs>
        <w:ind w:left="426" w:hanging="426"/>
      </w:pPr>
      <w:r>
        <w:t xml:space="preserve">3.	</w:t>
      </w:r>
      <w:r>
        <w:rPr>
          <w:b/>
        </w:rPr>
        <w:t xml:space="preserve">Lugar de trabajo.</w:t>
      </w:r>
      <w:r>
        <w:t xml:space="preserve"> Los servicios se prestarán en </w:t>
      </w:r>
      <w:r>
        <w:rPr>
          <w:highlight w:val="lightGray"/>
        </w:rPr>
        <w:t xml:space="preserve">[Nombre de la sede o centro de trabajo]</w:t>
      </w:r>
      <w:r>
        <w:t xml:space="preserve">, ubicada en </w:t>
      </w:r>
      <w:r>
        <w:rPr>
          <w:highlight w:val="lightGray"/>
        </w:rPr>
        <w:t xml:space="preserve">[Dirección del lugar de trabajo]</w:t>
      </w:r>
      <w:r>
        <w:t xml:space="preserve"> (art. 59, numeral 10).</w:t>
      </w:r>
    </w:p>
    <w:p>
      <w:pPr>
        <w:tabs>
          <w:tab w:val="left" w:pos="426"/>
        </w:tabs>
        <w:ind w:left="426" w:hanging="426"/>
      </w:pPr>
      <w:r>
        <w:t xml:space="preserve">4.	</w:t>
      </w:r>
      <w:r>
        <w:rPr>
          <w:b/>
        </w:rPr>
        <w:t xml:space="preserve">Jornada.</w:t>
      </w:r>
      <w:r>
        <w:t xml:space="preserve"> La jornada será </w:t>
      </w:r>
      <w:r>
        <w:rPr>
          <w:highlight w:val="lightGray"/>
        </w:rPr>
        <w:t xml:space="preserve">[Tipo de jornada]</w:t>
      </w:r>
      <w:r>
        <w:t xml:space="preserve">, con el horario </w:t>
      </w:r>
      <w:r>
        <w:rPr>
          <w:highlight w:val="lightGray"/>
        </w:rPr>
        <w:t xml:space="preserve">[Horario]</w:t>
      </w:r>
      <w:r>
        <w:t xml:space="preserve">, durante un máximo de cinco días a la semana, con dos días de descanso continuos y remunerados, que serán </w:t>
      </w:r>
      <w:r>
        <w:rPr>
          <w:highlight w:val="lightGray"/>
        </w:rPr>
        <w:t xml:space="preserve">[Días de descanso]</w:t>
      </w:r>
      <w:r>
        <w:t xml:space="preserve">. La jornada diurna no excederá de ocho horas diarias ni de cuarenta semanales; la nocturna, de siete diarias ni de treinta y cinco semanales; y la mixta, de siete horas y media diarias ni de treinta y siete y media semanales (art. 173 LOTTT; art. 59, numeral 8). Las horas extraordinarias solo se trabajarán con autorización de la entidad de trabajo y se pagarán conforme a la ley.</w:t>
      </w:r>
    </w:p>
    <w:p>
      <w:pPr>
        <w:tabs>
          <w:tab w:val="left" w:pos="426"/>
        </w:tabs>
        <w:ind w:left="426" w:hanging="426"/>
      </w:pPr>
      <w:r>
        <w:t xml:space="preserve">5.	</w:t>
      </w:r>
      <w:r>
        <w:rPr>
          <w:b/>
        </w:rPr>
        <w:t xml:space="preserve">Salario.</w:t>
      </w:r>
      <w:r>
        <w:t xml:space="preserve"> El trabajador o la trabajadora devengará un salario mensual de </w:t>
      </w:r>
      <w:r>
        <w:rPr>
          <w:highlight w:val="lightGray"/>
        </w:rPr>
        <w:t xml:space="preserve">[Salario mensual]</w:t>
      </w:r>
      <w:r>
        <w:t xml:space="preserve"> </w:t>
      </w:r>
      <w:r>
        <w:rPr>
          <w:highlight w:val="lightGray"/>
        </w:rPr>
        <w:t xml:space="preserve">[bolívares]</w:t>
      </w:r>
      <w:r>
        <w:t xml:space="preserve">, equivalente a un salario diario de </w:t>
      </w:r>
      <w:r>
        <w:rPr>
          <w:highlight w:val="lightGray"/>
        </w:rPr>
        <w:t xml:space="preserve">[Salario diario]</w:t>
      </w:r>
      <w:r>
        <w:t xml:space="preserve"> </w:t>
      </w:r>
      <w:r>
        <w:rPr>
          <w:highlight w:val="lightGray"/>
        </w:rPr>
        <w:t xml:space="preserve">[bolívares]</w:t>
      </w:r>
      <w:r>
        <w:t xml:space="preserve">, pagadero en moneda de curso legal (art. 123), por periodos </w:t>
      </w:r>
      <w:r>
        <w:rPr>
          <w:highlight w:val="lightGray"/>
        </w:rPr>
        <w:t xml:space="preserve">[Periodicidad de pago]</w:t>
      </w:r>
      <w:r>
        <w:t xml:space="preserve"> que no excederán de una quincena (art. 126), los días </w:t>
      </w:r>
      <w:r>
        <w:rPr>
          <w:highlight w:val="lightGray"/>
        </w:rPr>
        <w:t xml:space="preserve">[Día de pago]</w:t>
      </w:r>
      <w:r>
        <w:t xml:space="preserve">, en día laborable (art. 127), mediante </w:t>
      </w:r>
      <w:r>
        <w:rPr>
          <w:highlight w:val="lightGray"/>
        </w:rPr>
        <w:t xml:space="preserve">[Forma de pago]</w:t>
      </w:r>
      <w:r>
        <w:t xml:space="preserve">, en </w:t>
      </w:r>
      <w:r>
        <w:rPr>
          <w:highlight w:val="lightGray"/>
        </w:rPr>
        <w:t xml:space="preserve">[Lugar de pago]</w:t>
      </w:r>
      <w:r>
        <w:t xml:space="preserve"> (art. 59, numeral 9). Se entiende por salario normal la remuneración que el trabajador o la trabajadora reciba en forma regular y permanente por su servicio (art. 104).</w:t>
      </w:r>
    </w:p>
    <w:p>
      <w:pPr>
        <w:tabs>
          <w:tab w:val="left" w:pos="426"/>
        </w:tabs>
        <w:ind w:left="426" w:hanging="426"/>
      </w:pPr>
      <w:r>
        <w:t xml:space="preserve">6.	</w:t>
      </w:r>
      <w:r>
        <w:rPr>
          <w:i/>
          <w:color w:val="7A5C00"/>
        </w:rPr>
        <w:t xml:space="preserve">[Opcional: solo si hay otros beneficios pactados]</w:t>
      </w:r>
      <w:r>
        <w:t xml:space="preserve"> </w:t>
      </w:r>
      <w:r>
        <w:rPr>
          <w:b/>
        </w:rPr>
        <w:t xml:space="preserve">Otros beneficios.</w:t>
      </w:r>
      <w:r>
        <w:t xml:space="preserve"> El trabajador o la trabajadora recibirá además: </w:t>
      </w:r>
      <w:r>
        <w:rPr>
          <w:highlight w:val="lightGray"/>
        </w:rPr>
        <w:t xml:space="preserve">[Otros beneficios]</w:t>
      </w:r>
      <w:r>
        <w:t xml:space="preserve"> (art. 59, numeral 9).</w:t>
      </w:r>
    </w:p>
    <w:p>
      <w:pPr>
        <w:tabs>
          <w:tab w:val="left" w:pos="426"/>
        </w:tabs>
        <w:ind w:left="426" w:hanging="426"/>
      </w:pPr>
      <w:r>
        <w:t xml:space="preserve">7.	</w:t>
      </w:r>
      <w:r>
        <w:rPr>
          <w:b/>
        </w:rPr>
        <w:t xml:space="preserve">Vacaciones y bono vacacional.</w:t>
      </w:r>
      <w:r>
        <w:t xml:space="preserve"> Al cumplir un año de trabajo ininterrumpido, el trabajador o la trabajadora disfrutará de quince días hábiles de vacaciones remuneradas, más un día adicional por cada año de servicio, hasta un máximo de quince días hábiles adicionales (art. 190). En la oportunidad de sus vacaciones recibirá un bono vacacional de quince días de salario normal como mínimo, más un día por cada año de servicios, hasta treinta días de salario normal (art. 192). Si la relación termina antes de cumplir el año, se pagará la fracción correspondiente (art. 196).</w:t>
      </w:r>
    </w:p>
    <w:p>
      <w:pPr>
        <w:tabs>
          <w:tab w:val="left" w:pos="426"/>
        </w:tabs>
        <w:ind w:left="426" w:hanging="426"/>
      </w:pPr>
      <w:r>
        <w:t xml:space="preserve">8.	</w:t>
      </w:r>
      <w:r>
        <w:rPr>
          <w:b/>
        </w:rPr>
        <w:t xml:space="preserve">Participación en los beneficios.</w:t>
      </w:r>
      <w:r>
        <w:t xml:space="preserve"> La entidad de trabajo distribuirá entre sus trabajadores y trabajadoras por lo menos el quince por ciento de sus beneficios líquidos al cierre de su ejercicio anual, con un mínimo de treinta días y un máximo de cuatro meses de salario por persona, proporcional a los meses completos de servicio (art. 131). Si la entidad de trabajo tiene fines de lucro, adelantará en los primeros quince días de diciembre por lo menos treinta días de salario a cuenta de esa participación (art. 132). Las partes acuerdan </w:t>
      </w:r>
      <w:r>
        <w:rPr>
          <w:highlight w:val="lightGray"/>
        </w:rPr>
        <w:t xml:space="preserve">[Días de utilidades]</w:t>
      </w:r>
      <w:r>
        <w:t xml:space="preserve"> días de salario por este concepto.</w:t>
      </w:r>
    </w:p>
    <w:p>
      <w:pPr>
        <w:tabs>
          <w:tab w:val="left" w:pos="426"/>
        </w:tabs>
        <w:ind w:left="426" w:hanging="426"/>
      </w:pPr>
      <w:r>
        <w:t xml:space="preserve">9.	</w:t>
      </w:r>
      <w:r>
        <w:rPr>
          <w:b/>
        </w:rPr>
        <w:t xml:space="preserve">Prestaciones sociales.</w:t>
      </w:r>
      <w:r>
        <w:t xml:space="preserve"> La entidad de trabajo depositará cada trimestre, como garantía de las prestaciones sociales, el equivalente a quince días de salario, y, después del primer año, dos días adicionales por cada año, acumulativos hasta treinta días. Al terminar la relación por cualquier causa, se calcularán treinta días por cada año de servicio o fracción superior a seis meses, al último salario, y el trabajador o la trabajadora recibirá el monto mayor entre ese cálculo y la garantía depositada. El pago se hará dentro de los cinco días siguientes a la terminación (art. 142). La garantía se depositará en </w:t>
      </w:r>
      <w:r>
        <w:rPr>
          <w:highlight w:val="lightGray"/>
        </w:rPr>
        <w:t xml:space="preserve">[Depósito de la garantía de prestaciones]</w:t>
      </w:r>
      <w:r>
        <w:t xml:space="preserve">, según la voluntad del trabajador o la trabajadora expresada por escrito (art. 143).</w:t>
      </w:r>
    </w:p>
    <w:p>
      <w:pPr>
        <w:tabs>
          <w:tab w:val="left" w:pos="426"/>
        </w:tabs>
        <w:ind w:left="426" w:hanging="426"/>
      </w:pPr>
      <w:r>
        <w:t xml:space="preserve">10.	</w:t>
      </w:r>
      <w:r>
        <w:rPr>
          <w:b/>
        </w:rPr>
        <w:t xml:space="preserve">Seguridad social y alimentación.</w:t>
      </w:r>
      <w:r>
        <w:t xml:space="preserve"> La entidad de trabajo inscribirá al trabajador o la trabajadora en el Instituto Venezolano de los Seguros Sociales y cumplirá con el beneficio de alimentación y los demás aportes que establezca la ley.</w:t>
      </w:r>
    </w:p>
    <w:p>
      <w:pPr>
        <w:tabs>
          <w:tab w:val="left" w:pos="426"/>
        </w:tabs>
        <w:ind w:left="426" w:hanging="426"/>
      </w:pPr>
      <w:r>
        <w:t xml:space="preserve">11.	</w:t>
      </w:r>
      <w:r>
        <w:rPr>
          <w:b/>
        </w:rPr>
        <w:t xml:space="preserve">Seguridad y salud en el trabajo.</w:t>
      </w:r>
      <w:r>
        <w:t xml:space="preserve"> Antes de iniciar sus labores, el trabajador o la trabajadora recibirá por escrito la notificación de los riesgos de su puesto y de las medidas para prevenirlos, conforme a los artículos 53, numeral 1, y 56, numeral 3, de la Ley Orgánica de Prevención, Condiciones y Medio Ambiente de Trabajo (LOPCYMAT).</w:t>
      </w:r>
    </w:p>
    <w:p>
      <w:pPr>
        <w:tabs>
          <w:tab w:val="left" w:pos="426"/>
        </w:tabs>
        <w:ind w:left="426" w:hanging="426"/>
      </w:pPr>
      <w:r>
        <w:t xml:space="preserve">12.	</w:t>
      </w:r>
      <w:r>
        <w:rPr>
          <w:b/>
        </w:rPr>
        <w:t xml:space="preserve">Estabilidad.</w:t>
      </w:r>
      <w:r>
        <w:t xml:space="preserve"> El trabajador o la trabajadora goza de la estabilidad prevista en la LOTTT en los términos de su artículo 87. Este contrato no está sujeto a periodo de prueba.</w:t>
      </w:r>
    </w:p>
    <w:p>
      <w:pPr>
        <w:tabs>
          <w:tab w:val="left" w:pos="426"/>
        </w:tabs>
        <w:ind w:left="426" w:hanging="426"/>
      </w:pPr>
      <w:r>
        <w:t xml:space="preserve">13.	</w:t>
      </w:r>
      <w:r>
        <w:rPr>
          <w:b/>
        </w:rPr>
        <w:t xml:space="preserve">Confidencialidad.</w:t>
      </w:r>
      <w:r>
        <w:t xml:space="preserve"> El trabajador o la trabajadora guardará reserva sobre la información confidencial de la entidad de trabajo a la que tenga acceso por su trabajo, aun después de terminada la relación.</w:t>
      </w:r>
    </w:p>
    <w:p>
      <w:pPr>
        <w:tabs>
          <w:tab w:val="left" w:pos="426"/>
        </w:tabs>
        <w:ind w:left="426" w:hanging="426"/>
      </w:pPr>
      <w:r>
        <w:t xml:space="preserve">14.	</w:t>
      </w:r>
      <w:r>
        <w:rPr>
          <w:b/>
        </w:rPr>
        <w:t xml:space="preserve">Convención colectiva.</w:t>
      </w:r>
      <w:r>
        <w:t xml:space="preserve"> </w:t>
      </w:r>
      <w:r>
        <w:rPr>
          <w:highlight w:val="lightGray"/>
        </w:rPr>
        <w:t xml:space="preserve">[Convención colectiva aplicable]</w:t>
      </w:r>
      <w:r>
        <w:t xml:space="preserve"> (art. 59, numeral 11).</w:t>
      </w:r>
    </w:p>
    <w:p>
      <w:pPr>
        <w:tabs>
          <w:tab w:val="left" w:pos="426"/>
        </w:tabs>
        <w:ind w:left="426" w:hanging="426"/>
      </w:pPr>
      <w:r>
        <w:t xml:space="preserve">15.	</w:t>
      </w:r>
      <w:r>
        <w:rPr>
          <w:b/>
        </w:rPr>
        <w:t xml:space="preserve">Otras estipulaciones.</w:t>
      </w:r>
      <w:r>
        <w:t xml:space="preserve"> </w:t>
      </w:r>
      <w:r>
        <w:rPr>
          <w:highlight w:val="lightGray"/>
        </w:rPr>
        <w:t xml:space="preserve">[Otras condiciones]</w:t>
      </w:r>
      <w:r>
        <w:t xml:space="preserve"> (art. 59, numeral 13).</w:t>
      </w:r>
    </w:p>
    <w:p>
      <w:pPr>
        <w:tabs>
          <w:tab w:val="left" w:pos="426"/>
        </w:tabs>
        <w:ind w:left="426" w:hanging="426"/>
      </w:pPr>
      <w:r>
        <w:t xml:space="preserve">16.	</w:t>
      </w:r>
      <w:r>
        <w:rPr>
          <w:b/>
        </w:rPr>
        <w:t xml:space="preserve">Ejemplares y firma.</w:t>
      </w:r>
      <w:r>
        <w:t xml:space="preserve"> Este contrato se celebra en </w:t>
      </w:r>
      <w:r>
        <w:rPr>
          <w:highlight w:val="lightGray"/>
        </w:rPr>
        <w:t xml:space="preserve">[Ciudad]</w:t>
      </w:r>
      <w:r>
        <w:t xml:space="preserve">, el </w:t>
      </w:r>
      <w:r>
        <w:rPr>
          <w:highlight w:val="lightGray"/>
        </w:rPr>
        <w:t xml:space="preserve">[Fecha]</w:t>
      </w:r>
      <w:r>
        <w:t xml:space="preserve"> (art. 59, numeral 12). Se extienden dos ejemplares originales, uno para cada parte. La entidad de trabajo deja constancia de la fecha y hora de entrega del ejemplar al trabajador o la trabajadora, mediante acuse de recibo que firma quien lo recibe (art. 59, último párrafo). Lo no previsto se rige por la LOTTT, su reglamento y demás leyes aplicables.</w:t>
      </w:r>
    </w:p>
    <w:tbl>
      <w:tblPr>
        <w:tblW w:w="9360" w:type="dxa"/>
        <w:tblLayout w:type="fixed"/>
        <w:tblCellMar>
          <w:top w:w="240" w:type="dxa"/>
          <w:left w:w="0" w:type="dxa"/>
          <w:right w:w="240" w:type="dxa"/>
        </w:tblCellMar>
      </w:tblPr>
      <w:tblGrid>
        <w:gridCol w:w="4680"/>
        <w:gridCol w:w="4680"/>
      </w:tblGrid>
      <w:tr>
        <w:trPr>
          <w:cantSplit/>
        </w:trPr>
        <w:tc>
          <w:tcPr>
            <w:tcW w:w="4680" w:type="dxa"/>
          </w:tcPr>
          <w:p>
            <w:pPr>
              <w:keepNext/>
            </w:pPr>
            <w:r>
              <w:rPr>
                <w:b/>
              </w:rPr>
              <w:t xml:space="preserve">La entidad de trabajo</w:t>
            </w:r>
          </w:p>
          <w:p>
            <w:pPr>
              <w:spacing w:before="720"/>
              <w:keepNext/>
            </w:pPr>
            <w:r>
              <w:t xml:space="preserve">______________________________</w:t>
            </w:r>
          </w:p>
          <w:p>
            <w:pPr>
              <w:keepNext/>
            </w:pPr>
            <w:r>
              <w:rPr>
                <w:highlight w:val="lightGray"/>
              </w:rPr>
              <w:t xml:space="preserve">[Razón social de la empresa]</w:t>
            </w:r>
          </w:p>
          <w:p>
            <w:pPr>
              <w:keepNext/>
            </w:pPr>
            <w:r>
              <w:rPr>
                <w:highlight w:val="lightGray"/>
              </w:rPr>
              <w:t xml:space="preserve">[Nombre del representante legal]</w:t>
            </w:r>
          </w:p>
        </w:tc>
        <w:tc>
          <w:tcPr>
            <w:tcW w:w="4680" w:type="dxa"/>
          </w:tcPr>
          <w:p>
            <w:pPr>
              <w:keepNext/>
            </w:pPr>
            <w:r>
              <w:rPr>
                <w:b/>
              </w:rPr>
              <w:t xml:space="preserve">El trabajador o la trabajadora</w:t>
            </w:r>
          </w:p>
          <w:p>
            <w:pPr>
              <w:spacing w:before="720"/>
              <w:keepNext/>
            </w:pPr>
            <w:r>
              <w:t xml:space="preserve">______________________________</w:t>
            </w:r>
          </w:p>
          <w:p>
            <w:pPr>
              <w:keepNext/>
            </w:pPr>
            <w:r>
              <w:rPr>
                <w:highlight w:val="lightGray"/>
              </w:rPr>
              <w:t xml:space="preserve">[Nombre completo de la persona]</w:t>
            </w:r>
          </w:p>
          <w:p>
            <w:pPr>
              <w:keepNext/>
            </w:pPr>
            <w:r>
              <w:t xml:space="preserve">C.I. </w:t>
            </w:r>
            <w:r>
              <w:rPr>
                <w:highlight w:val="lightGray"/>
              </w:rPr>
              <w:t xml:space="preserve">[Número de cédula]</w:t>
            </w:r>
          </w:p>
        </w:tc>
      </w:tr>
    </w:tbl>
    <w:p/>
    <w:sectPr>
      <w:pgSz w:w="12240" w:h="15840"/>
      <w:pgMar w:top="1418" w:right="1440" w:bottom="1418" w:left="1440"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es-VE"/>
      </w:rPr>
    </w:rPrDefault>
    <w:pPrDefault>
      <w:pPr>
        <w:spacing w:after="160" w:line="276" w:lineRule="auto"/>
        <w:jc w:val="both"/>
      </w:pPr>
    </w:pPrDefault>
  </w:docDefaults>
  <w:style w:type="paragraph" w:default="1" w:styleId="Normal">
    <w:name w:val="Normal"/>
    <w:qFormat/>
  </w:style>
  <w:style w:type="paragraph" w:styleId="Titulo1">
    <w:name w:val="heading 1"/>
    <w:basedOn w:val="Normal"/>
    <w:next w:val="Normal"/>
    <w:qFormat/>
    <w:pPr>
      <w:keepNext/>
      <w:spacing w:before="240" w:after="240"/>
      <w:jc w:val="center"/>
      <w:outlineLvl w:val="0"/>
    </w:pPr>
    <w:rPr>
      <w:b/>
      <w:sz w:val="30"/>
      <w:szCs w:val="30"/>
    </w:rPr>
  </w:style>
  <w:style w:type="paragraph" w:styleId="Titulo2">
    <w:name w:val="heading 2"/>
    <w:basedOn w:val="Normal"/>
    <w:next w:val="Normal"/>
    <w:qFormat/>
    <w:pPr>
      <w:keepNext/>
      <w:spacing w:before="280" w:after="120"/>
      <w:jc w:val="left"/>
      <w:outlineLvl w:val="1"/>
    </w:pPr>
    <w:rPr>
      <w:b/>
      <w:sz w:val="24"/>
      <w:szCs w:val="24"/>
    </w:rPr>
  </w:style>
  <w:style w:type="paragraph" w:styleId="Aviso">
    <w:name w:val="Aviso"/>
    <w:basedOn w:val="Normal"/>
    <w:pPr>
      <w:pBdr>
        <w:top w:val="single" w:sz="4" w:space="4" w:color="BFBFBF"/>
        <w:bottom w:val="single" w:sz="4" w:space="4" w:color="BFBFBF"/>
      </w:pBdr>
      <w:spacing w:after="240"/>
      <w:jc w:val="left"/>
    </w:pPr>
    <w:rPr>
      <w:i/>
      <w:color w:val="595959"/>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Contrato de trabajo por tiempo indeterminado</dc:title>
  <dc:creator>Quincenea</dc:creator>
  <dc:language>es-VE</dc:language>
  <dc:description>Este formato se preparó con apoyo de inteligencia artificial y no es asesoría de un abogado. Revísalo con tu abogado laboral antes de usarlo.</dc:description>
  <dcterms:created xsi:type="dcterms:W3CDTF">2026-10-19T00:00:00Z</dcterms:created>
  <dcterms:modified xsi:type="dcterms:W3CDTF">2026-10-19T00:00:00Z</dcterms:modified>
</cp:coreProperties>
</file>